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A404" w14:textId="77777777" w:rsidR="003E4250" w:rsidRDefault="00B86662">
      <w:pPr>
        <w:pStyle w:val="a8"/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附件一</w:t>
      </w:r>
    </w:p>
    <w:p w14:paraId="3AA319CD" w14:textId="7AF4BF70" w:rsidR="003E4250" w:rsidRDefault="00B86662">
      <w:pPr>
        <w:pStyle w:val="a8"/>
        <w:tabs>
          <w:tab w:val="right" w:pos="8730"/>
        </w:tabs>
        <w:jc w:val="center"/>
      </w:pPr>
      <w:r>
        <w:rPr>
          <w:rFonts w:eastAsia="標楷體"/>
          <w:b/>
          <w:sz w:val="30"/>
          <w:szCs w:val="30"/>
        </w:rPr>
        <w:t>彰化縣</w:t>
      </w:r>
      <w:r>
        <w:rPr>
          <w:rFonts w:eastAsia="標楷體"/>
          <w:b/>
          <w:color w:val="FF0000"/>
          <w:sz w:val="30"/>
          <w:szCs w:val="30"/>
        </w:rPr>
        <w:t>草港</w:t>
      </w:r>
      <w:r>
        <w:rPr>
          <w:rFonts w:eastAsia="標楷體"/>
          <w:b/>
          <w:sz w:val="30"/>
          <w:szCs w:val="30"/>
        </w:rPr>
        <w:t>國民</w:t>
      </w:r>
      <w:r>
        <w:rPr>
          <w:rFonts w:eastAsia="標楷體"/>
          <w:b/>
          <w:color w:val="FF0000"/>
          <w:sz w:val="30"/>
          <w:szCs w:val="30"/>
        </w:rPr>
        <w:t>小</w:t>
      </w:r>
      <w:r>
        <w:rPr>
          <w:rFonts w:eastAsia="標楷體"/>
          <w:b/>
          <w:sz w:val="30"/>
          <w:szCs w:val="30"/>
        </w:rPr>
        <w:t>學</w:t>
      </w:r>
      <w:r>
        <w:rPr>
          <w:rFonts w:ascii="標楷體" w:eastAsia="標楷體" w:hAnsi="標楷體"/>
          <w:b/>
          <w:color w:val="FF0000"/>
          <w:sz w:val="30"/>
          <w:szCs w:val="30"/>
        </w:rPr>
        <w:t>11</w:t>
      </w:r>
      <w:r w:rsidR="00896155">
        <w:rPr>
          <w:rFonts w:ascii="標楷體" w:eastAsia="標楷體" w:hAnsi="標楷體" w:hint="eastAsia"/>
          <w:b/>
          <w:color w:val="FF0000"/>
          <w:sz w:val="30"/>
          <w:szCs w:val="30"/>
        </w:rPr>
        <w:t>4</w:t>
      </w:r>
      <w:r>
        <w:rPr>
          <w:rFonts w:ascii="標楷體" w:eastAsia="標楷體" w:hAnsi="標楷體"/>
          <w:b/>
          <w:sz w:val="30"/>
          <w:szCs w:val="30"/>
        </w:rPr>
        <w:t>年</w:t>
      </w:r>
      <w:r>
        <w:rPr>
          <w:rFonts w:eastAsia="標楷體"/>
          <w:b/>
          <w:sz w:val="30"/>
          <w:szCs w:val="30"/>
        </w:rPr>
        <w:t>全民國防教育融入各科教學活動設計單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8" w:type="dxa"/>
          <w:right w:w="28" w:type="dxa"/>
        </w:tblCellMar>
        <w:tblLook w:val="0000" w:firstRow="0" w:lastRow="0" w:firstColumn="0" w:lastColumn="0" w:noHBand="0" w:noVBand="0"/>
      </w:tblPr>
      <w:tblGrid>
        <w:gridCol w:w="843"/>
        <w:gridCol w:w="1497"/>
        <w:gridCol w:w="2109"/>
        <w:gridCol w:w="2104"/>
        <w:gridCol w:w="2157"/>
      </w:tblGrid>
      <w:tr w:rsidR="003E4250" w14:paraId="6B0E2DED" w14:textId="77777777">
        <w:tc>
          <w:tcPr>
            <w:tcW w:w="2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19A20" w14:textId="77777777" w:rsidR="003E4250" w:rsidRDefault="00B86662">
            <w:pPr>
              <w:pStyle w:val="a8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    題</w:t>
            </w:r>
          </w:p>
        </w:tc>
        <w:tc>
          <w:tcPr>
            <w:tcW w:w="6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29080" w14:textId="77777777" w:rsidR="003E4250" w:rsidRDefault="00B86662">
            <w:pPr>
              <w:pStyle w:val="a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金門馬祖軍事前哨介紹</w:t>
            </w:r>
          </w:p>
        </w:tc>
      </w:tr>
      <w:tr w:rsidR="003E4250" w14:paraId="128DB481" w14:textId="77777777">
        <w:tc>
          <w:tcPr>
            <w:tcW w:w="2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4DC7A" w14:textId="77777777" w:rsidR="003E4250" w:rsidRDefault="00B86662">
            <w:pPr>
              <w:pStyle w:val="a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融入領域（科目）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B0611" w14:textId="77777777" w:rsidR="003E4250" w:rsidRDefault="00B86662">
            <w:pPr>
              <w:pStyle w:val="a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社會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49A89" w14:textId="77777777" w:rsidR="003E4250" w:rsidRDefault="00B86662">
            <w:pPr>
              <w:pStyle w:val="a8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融入教學時間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5943E1" w14:textId="77777777" w:rsidR="003E4250" w:rsidRDefault="00B86662">
            <w:pPr>
              <w:pStyle w:val="a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40分鐘</w:t>
            </w:r>
          </w:p>
        </w:tc>
      </w:tr>
      <w:tr w:rsidR="003E4250" w14:paraId="60CB77FD" w14:textId="77777777">
        <w:tc>
          <w:tcPr>
            <w:tcW w:w="2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28151" w14:textId="77777777" w:rsidR="003E4250" w:rsidRDefault="00B86662">
            <w:pPr>
              <w:pStyle w:val="a8"/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設 計 者</w:t>
            </w:r>
          </w:p>
          <w:p w14:paraId="3537F311" w14:textId="77777777" w:rsidR="003E4250" w:rsidRDefault="00B86662">
            <w:pPr>
              <w:pStyle w:val="a8"/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</w:rPr>
              <w:t>教 學 者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4A992" w14:textId="39131EC7" w:rsidR="003E4250" w:rsidRPr="00422B74" w:rsidRDefault="00422B74">
            <w:pPr>
              <w:pStyle w:val="a8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422B74">
              <w:rPr>
                <w:rFonts w:ascii="標楷體" w:eastAsia="標楷體" w:hAnsi="標楷體" w:hint="eastAsia"/>
                <w:color w:val="000000" w:themeColor="text1"/>
                <w:sz w:val="32"/>
              </w:rPr>
              <w:t>葉庭欣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A0A14" w14:textId="77777777" w:rsidR="003E4250" w:rsidRDefault="00B86662">
            <w:pPr>
              <w:pStyle w:val="a8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融入單元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81520B" w14:textId="77777777" w:rsidR="003E4250" w:rsidRDefault="00B86662">
            <w:pPr>
              <w:pStyle w:val="a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第11冊 第六單元</w:t>
            </w:r>
          </w:p>
          <w:p w14:paraId="68355359" w14:textId="77777777" w:rsidR="003E4250" w:rsidRDefault="00B86662">
            <w:pPr>
              <w:pStyle w:val="a8"/>
            </w:pPr>
            <w:r>
              <w:rPr>
                <w:rFonts w:ascii="標楷體" w:eastAsia="標楷體" w:hAnsi="標楷體"/>
                <w:sz w:val="20"/>
              </w:rPr>
              <w:t>單元名稱：台灣城鄉與區域</w:t>
            </w:r>
          </w:p>
        </w:tc>
      </w:tr>
      <w:tr w:rsidR="003E4250" w14:paraId="06C4DBA8" w14:textId="77777777">
        <w:tc>
          <w:tcPr>
            <w:tcW w:w="2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70C02" w14:textId="77777777" w:rsidR="003E4250" w:rsidRDefault="00B86662">
            <w:pPr>
              <w:pStyle w:val="a8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實施教學時間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24A689" w14:textId="4C7D64F7" w:rsidR="003E4250" w:rsidRDefault="00B86662">
            <w:pPr>
              <w:pStyle w:val="a8"/>
              <w:ind w:firstLine="67"/>
            </w:pPr>
            <w:r>
              <w:rPr>
                <w:rFonts w:ascii="標楷體" w:eastAsia="標楷體" w:hAnsi="標楷體"/>
                <w:sz w:val="32"/>
              </w:rPr>
              <w:t>11</w:t>
            </w:r>
            <w:r w:rsidR="00896155">
              <w:rPr>
                <w:rFonts w:ascii="標楷體" w:eastAsia="標楷體" w:hAnsi="標楷體" w:hint="eastAsia"/>
                <w:sz w:val="32"/>
              </w:rPr>
              <w:t>4</w:t>
            </w:r>
            <w:r>
              <w:rPr>
                <w:rFonts w:ascii="標楷體" w:eastAsia="標楷體" w:hAnsi="標楷體"/>
                <w:sz w:val="28"/>
              </w:rPr>
              <w:t>年1</w:t>
            </w:r>
            <w:r w:rsidR="0089615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月</w:t>
            </w:r>
            <w:r w:rsidR="006107C7">
              <w:rPr>
                <w:rFonts w:ascii="標楷體" w:eastAsia="標楷體" w:hAnsi="標楷體" w:hint="eastAsia"/>
                <w:sz w:val="28"/>
              </w:rPr>
              <w:t>2</w:t>
            </w:r>
            <w:r w:rsidR="00896155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 xml:space="preserve"> 日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58859" w14:textId="77777777" w:rsidR="003E4250" w:rsidRDefault="00B86662">
            <w:pPr>
              <w:pStyle w:val="a8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主要評量方式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C891C" w14:textId="77777777" w:rsidR="003E4250" w:rsidRDefault="00B86662">
            <w:pPr>
              <w:pStyle w:val="a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口頭回答</w:t>
            </w:r>
          </w:p>
        </w:tc>
      </w:tr>
      <w:tr w:rsidR="003E4250" w14:paraId="26D2C593" w14:textId="77777777">
        <w:trPr>
          <w:cantSplit/>
          <w:trHeight w:val="1740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B5F66" w14:textId="77777777" w:rsidR="003E4250" w:rsidRDefault="00B86662">
            <w:pPr>
              <w:pStyle w:val="a8"/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教學目標</w:t>
            </w:r>
          </w:p>
        </w:tc>
        <w:tc>
          <w:tcPr>
            <w:tcW w:w="78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79BB5" w14:textId="77777777" w:rsidR="003E4250" w:rsidRDefault="00B86662">
            <w:pPr>
              <w:pStyle w:val="a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1.瞭解金門馬祖軍事前哨的定位與意義</w:t>
            </w:r>
          </w:p>
          <w:p w14:paraId="791D2573" w14:textId="77777777" w:rsidR="003E4250" w:rsidRDefault="00B86662">
            <w:pPr>
              <w:pStyle w:val="a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2.金門馬祖戰爭歷史簡介</w:t>
            </w:r>
          </w:p>
          <w:p w14:paraId="6E329D8B" w14:textId="77777777" w:rsidR="003E4250" w:rsidRDefault="00B86662">
            <w:pPr>
              <w:pStyle w:val="a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3.金門馬祖人文與地理</w:t>
            </w:r>
          </w:p>
        </w:tc>
      </w:tr>
      <w:tr w:rsidR="003E4250" w14:paraId="3183D901" w14:textId="77777777">
        <w:trPr>
          <w:cantSplit/>
          <w:trHeight w:val="3418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2576A" w14:textId="77777777" w:rsidR="003E4250" w:rsidRDefault="00B86662">
            <w:pPr>
              <w:pStyle w:val="a8"/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教學內容綱要</w:t>
            </w:r>
          </w:p>
        </w:tc>
        <w:tc>
          <w:tcPr>
            <w:tcW w:w="78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0747F" w14:textId="77777777" w:rsidR="003E4250" w:rsidRDefault="00B86662">
            <w:pPr>
              <w:pStyle w:val="a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1.金門馬祖地理位置</w:t>
            </w:r>
          </w:p>
          <w:p w14:paraId="3C51F0B2" w14:textId="77777777" w:rsidR="003E4250" w:rsidRDefault="00B86662">
            <w:pPr>
              <w:pStyle w:val="a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2.金門823砲戰與大武山毋忘在莒介紹</w:t>
            </w:r>
          </w:p>
          <w:p w14:paraId="2E8BBE39" w14:textId="77777777" w:rsidR="003E4250" w:rsidRDefault="00B86662">
            <w:pPr>
              <w:pStyle w:val="a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3.馬祖戰地遺跡介紹</w:t>
            </w:r>
          </w:p>
          <w:p w14:paraId="420D5737" w14:textId="77777777" w:rsidR="003E4250" w:rsidRDefault="00B86662">
            <w:pPr>
              <w:pStyle w:val="a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4.金門風俗人情介紹</w:t>
            </w:r>
          </w:p>
          <w:p w14:paraId="14D7AFE6" w14:textId="77777777" w:rsidR="003E4250" w:rsidRDefault="00B86662">
            <w:pPr>
              <w:pStyle w:val="a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5.馬祖風俗人情介紹</w:t>
            </w:r>
          </w:p>
        </w:tc>
      </w:tr>
      <w:tr w:rsidR="003E4250" w14:paraId="5E1EFAC0" w14:textId="77777777">
        <w:trPr>
          <w:cantSplit/>
          <w:trHeight w:val="3574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8DC06" w14:textId="77777777" w:rsidR="003E4250" w:rsidRDefault="00B86662">
            <w:pPr>
              <w:pStyle w:val="a8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lastRenderedPageBreak/>
              <w:t>參考資料或教學照片</w:t>
            </w:r>
          </w:p>
        </w:tc>
        <w:tc>
          <w:tcPr>
            <w:tcW w:w="78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8DA01" w14:textId="77777777" w:rsidR="003E4250" w:rsidRDefault="00422B74">
            <w:pPr>
              <w:pStyle w:val="a8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 wp14:anchorId="54501009" wp14:editId="13E83C7A">
                  <wp:extent cx="3866473" cy="2900519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126" cy="290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D91CA" w14:textId="3068BC38" w:rsidR="00F02775" w:rsidRDefault="00F02775">
            <w:pPr>
              <w:pStyle w:val="a8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w:drawing>
                <wp:inline distT="0" distB="0" distL="0" distR="0" wp14:anchorId="3D0972F5" wp14:editId="2A198358">
                  <wp:extent cx="3916348" cy="2937934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606" cy="2945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868811" w14:textId="322329F6" w:rsidR="003E4250" w:rsidRDefault="00B86662">
      <w:pPr>
        <w:pStyle w:val="a8"/>
      </w:pPr>
      <w:r>
        <w:rPr>
          <w:rFonts w:ascii="標楷體" w:eastAsia="標楷體" w:hAnsi="標楷體"/>
          <w:sz w:val="28"/>
          <w:szCs w:val="28"/>
        </w:rPr>
        <w:t xml:space="preserve">承辦人： </w:t>
      </w:r>
      <w:r w:rsidR="00612E71">
        <w:rPr>
          <w:rFonts w:ascii="標楷體" w:eastAsia="標楷體" w:hAnsi="標楷體" w:hint="eastAsia"/>
          <w:sz w:val="28"/>
          <w:szCs w:val="28"/>
        </w:rPr>
        <w:t>葉庭欣</w:t>
      </w:r>
      <w:r>
        <w:rPr>
          <w:rFonts w:ascii="標楷體" w:eastAsia="標楷體" w:hAnsi="標楷體"/>
          <w:sz w:val="28"/>
          <w:szCs w:val="28"/>
        </w:rPr>
        <w:t xml:space="preserve">      單位主管：</w:t>
      </w:r>
      <w:r w:rsidR="00612E71">
        <w:rPr>
          <w:rFonts w:ascii="標楷體" w:eastAsia="標楷體" w:hAnsi="標楷體" w:hint="eastAsia"/>
          <w:sz w:val="28"/>
          <w:szCs w:val="28"/>
        </w:rPr>
        <w:t>施建寧</w:t>
      </w:r>
      <w:r>
        <w:rPr>
          <w:rFonts w:ascii="標楷體" w:eastAsia="標楷體" w:hAnsi="標楷體"/>
          <w:sz w:val="28"/>
          <w:szCs w:val="28"/>
        </w:rPr>
        <w:t xml:space="preserve">        校長：</w:t>
      </w:r>
      <w:r w:rsidR="00612E71">
        <w:rPr>
          <w:rFonts w:ascii="標楷體" w:eastAsia="標楷體" w:hAnsi="標楷體" w:hint="eastAsia"/>
          <w:sz w:val="28"/>
          <w:szCs w:val="28"/>
        </w:rPr>
        <w:t>吳旻城</w:t>
      </w:r>
      <w:r>
        <w:rPr>
          <w:rFonts w:ascii="標楷體" w:eastAsia="標楷體" w:hAnsi="標楷體"/>
          <w:sz w:val="28"/>
          <w:szCs w:val="28"/>
        </w:rPr>
        <w:t xml:space="preserve">           </w:t>
      </w:r>
    </w:p>
    <w:sectPr w:rsidR="003E4250">
      <w:footerReference w:type="default" r:id="rId8"/>
      <w:pgSz w:w="11906" w:h="16838"/>
      <w:pgMar w:top="720" w:right="1588" w:bottom="1134" w:left="1588" w:header="0" w:footer="794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A1E4" w14:textId="77777777" w:rsidR="00215914" w:rsidRDefault="00215914">
      <w:r>
        <w:separator/>
      </w:r>
    </w:p>
  </w:endnote>
  <w:endnote w:type="continuationSeparator" w:id="0">
    <w:p w14:paraId="1652C812" w14:textId="77777777" w:rsidR="00215914" w:rsidRDefault="0021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ED45" w14:textId="77777777" w:rsidR="003E4250" w:rsidRDefault="00B86662">
    <w:pPr>
      <w:pStyle w:val="aa"/>
      <w:jc w:val="center"/>
    </w:pPr>
    <w:r>
      <w:rPr>
        <w:lang w:val="zh-TW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27633A6" w14:textId="77777777" w:rsidR="003E4250" w:rsidRDefault="003E42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7676" w14:textId="77777777" w:rsidR="00215914" w:rsidRDefault="00215914">
      <w:r>
        <w:separator/>
      </w:r>
    </w:p>
  </w:footnote>
  <w:footnote w:type="continuationSeparator" w:id="0">
    <w:p w14:paraId="1C7C017F" w14:textId="77777777" w:rsidR="00215914" w:rsidRDefault="00215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50"/>
    <w:rsid w:val="00215914"/>
    <w:rsid w:val="0021688B"/>
    <w:rsid w:val="00393F07"/>
    <w:rsid w:val="003E4250"/>
    <w:rsid w:val="00422B74"/>
    <w:rsid w:val="004C5BFB"/>
    <w:rsid w:val="00520324"/>
    <w:rsid w:val="006107C7"/>
    <w:rsid w:val="00612E71"/>
    <w:rsid w:val="00896155"/>
    <w:rsid w:val="009B15FA"/>
    <w:rsid w:val="00B40735"/>
    <w:rsid w:val="00B86662"/>
    <w:rsid w:val="00F0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F8A67"/>
  <w15:docId w15:val="{67352FAB-8A97-4AF9-8CEB-CC3030A6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FollowedHyperlink"/>
    <w:qFormat/>
    <w:rPr>
      <w:color w:val="800080"/>
      <w:u w:val="single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paragraph" w:styleId="a8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9">
    <w:name w:val="header"/>
    <w:basedOn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8"/>
    <w:qFormat/>
    <w:rPr>
      <w:rFonts w:ascii="Cambria" w:eastAsia="Cambria" w:hAnsi="Cambria" w:cs="Cambria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2025-12-09T02:23:00Z</dcterms:created>
  <dcterms:modified xsi:type="dcterms:W3CDTF">2025-12-09T02:23:00Z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2020-11-27T05:04:00Z</dcterms:created>
  <dc:creator>Statue of Liberty</dc:creator>
  <dc:description/>
  <dc:language>zh-TW</dc:language>
  <cp:lastModifiedBy>USER</cp:lastModifiedBy>
  <cp:lastPrinted>2016-01-19T00:47:00Z</cp:lastPrinted>
  <dcterms:modified xsi:type="dcterms:W3CDTF">2021-12-02T00:54:00Z</dcterms:modified>
  <cp:revision>6</cp:revision>
  <dc:subject/>
  <dc:title>訂定「臺北縣政府推動『全民國防教育法』作業實施計畫」</dc:title>
</cp:coreProperties>
</file>